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D2BE" w14:textId="77777777" w:rsidR="004C5DD5" w:rsidRPr="00133B61" w:rsidRDefault="004C5DD5" w:rsidP="004C5DD5">
      <w:pPr>
        <w:jc w:val="center"/>
        <w:rPr>
          <w:rFonts w:cstheme="minorHAnsi"/>
          <w:color w:val="000000" w:themeColor="text1"/>
        </w:rPr>
      </w:pPr>
      <w:r w:rsidRPr="00133B61">
        <w:rPr>
          <w:rFonts w:cstheme="minorHAnsi"/>
          <w:color w:val="000000" w:themeColor="text1"/>
        </w:rPr>
        <w:t>PROTOCOLLO D’INTESA</w:t>
      </w:r>
    </w:p>
    <w:p w14:paraId="322A19CA" w14:textId="4FCF115D" w:rsidR="00CD4B9A" w:rsidRPr="00133B61" w:rsidRDefault="00CD4B9A" w:rsidP="002D3418">
      <w:pPr>
        <w:jc w:val="center"/>
        <w:rPr>
          <w:rFonts w:cstheme="minorHAnsi"/>
        </w:rPr>
      </w:pPr>
      <w:r w:rsidRPr="00133B61">
        <w:rPr>
          <w:rFonts w:cstheme="minorHAnsi"/>
        </w:rPr>
        <w:t>TRA</w:t>
      </w:r>
    </w:p>
    <w:p w14:paraId="43609B7B" w14:textId="77BC58DC" w:rsidR="009F4F96" w:rsidRPr="00133B61" w:rsidRDefault="009F4F96" w:rsidP="00200CC8">
      <w:pPr>
        <w:jc w:val="both"/>
        <w:rPr>
          <w:rFonts w:cstheme="minorHAnsi"/>
        </w:rPr>
      </w:pPr>
      <w:r w:rsidRPr="00133B61">
        <w:rPr>
          <w:rFonts w:cstheme="minorHAnsi"/>
        </w:rPr>
        <w:t>L'Università degli Studi di Catania</w:t>
      </w:r>
      <w:r w:rsidR="001B0276" w:rsidRPr="00133B61">
        <w:rPr>
          <w:rFonts w:cstheme="minorHAnsi"/>
        </w:rPr>
        <w:t xml:space="preserve">, </w:t>
      </w:r>
      <w:r w:rsidR="009C1AD6" w:rsidRPr="00133B61">
        <w:rPr>
          <w:rFonts w:cstheme="minorHAnsi"/>
        </w:rPr>
        <w:t xml:space="preserve">tramite il Dipartimento di </w:t>
      </w:r>
      <w:r w:rsidR="00711F95" w:rsidRPr="00133B61">
        <w:rPr>
          <w:rFonts w:cstheme="minorHAnsi"/>
        </w:rPr>
        <w:t>Matema</w:t>
      </w:r>
      <w:r w:rsidR="006A100C" w:rsidRPr="00133B61">
        <w:rPr>
          <w:rFonts w:cstheme="minorHAnsi"/>
        </w:rPr>
        <w:t>tica e Informatica</w:t>
      </w:r>
      <w:r w:rsidR="00271D76" w:rsidRPr="00133B61">
        <w:rPr>
          <w:rFonts w:cstheme="minorHAnsi"/>
        </w:rPr>
        <w:t xml:space="preserve"> di </w:t>
      </w:r>
      <w:r w:rsidR="006A099F" w:rsidRPr="00133B61">
        <w:rPr>
          <w:rFonts w:cstheme="minorHAnsi"/>
        </w:rPr>
        <w:t xml:space="preserve">seguito </w:t>
      </w:r>
      <w:r w:rsidR="00133B61" w:rsidRPr="00133B61">
        <w:rPr>
          <w:rFonts w:cstheme="minorHAnsi"/>
        </w:rPr>
        <w:t>“</w:t>
      </w:r>
      <w:r w:rsidR="006A099F" w:rsidRPr="00133B61">
        <w:rPr>
          <w:rFonts w:cstheme="minorHAnsi"/>
        </w:rPr>
        <w:t>DMI</w:t>
      </w:r>
      <w:r w:rsidR="001B0276" w:rsidRPr="00133B61">
        <w:rPr>
          <w:rFonts w:cstheme="minorHAnsi"/>
        </w:rPr>
        <w:t>”</w:t>
      </w:r>
      <w:r w:rsidR="009C1AD6" w:rsidRPr="00133B61">
        <w:rPr>
          <w:rFonts w:cstheme="minorHAnsi"/>
        </w:rPr>
        <w:t xml:space="preserve">, </w:t>
      </w:r>
      <w:r w:rsidRPr="00133B61">
        <w:rPr>
          <w:rFonts w:cstheme="minorHAnsi"/>
        </w:rPr>
        <w:t xml:space="preserve">codice fiscale 02772010878, rappresentata dal </w:t>
      </w:r>
      <w:r w:rsidR="009E69C3" w:rsidRPr="00133B61">
        <w:rPr>
          <w:rFonts w:cstheme="minorHAnsi"/>
        </w:rPr>
        <w:t>R</w:t>
      </w:r>
      <w:r w:rsidRPr="00133B61">
        <w:rPr>
          <w:rFonts w:cstheme="minorHAnsi"/>
        </w:rPr>
        <w:t>ettore</w:t>
      </w:r>
      <w:r w:rsidR="00B465C3" w:rsidRPr="00133B61">
        <w:rPr>
          <w:rFonts w:cstheme="minorHAnsi"/>
        </w:rPr>
        <w:t xml:space="preserve"> Prof. </w:t>
      </w:r>
      <w:r w:rsidR="00213519">
        <w:rPr>
          <w:rFonts w:cstheme="minorHAnsi"/>
        </w:rPr>
        <w:t>Enrico Foti</w:t>
      </w:r>
      <w:r w:rsidRPr="00133B61">
        <w:rPr>
          <w:rFonts w:cstheme="minorHAnsi"/>
        </w:rPr>
        <w:t>, domiciliato per la carica in Catania, P.zza Università 2, e autorizzato alla stipula della presente convenzione</w:t>
      </w:r>
      <w:r w:rsidR="00BA461D" w:rsidRPr="00133B61">
        <w:rPr>
          <w:rFonts w:cstheme="minorHAnsi"/>
        </w:rPr>
        <w:t>.</w:t>
      </w:r>
    </w:p>
    <w:p w14:paraId="12F4A3F0" w14:textId="4E41EDA7" w:rsidR="00D24BAA" w:rsidRPr="00133B61" w:rsidRDefault="009F4F96" w:rsidP="00D24BAA">
      <w:pPr>
        <w:jc w:val="center"/>
        <w:rPr>
          <w:rFonts w:cstheme="minorHAnsi"/>
        </w:rPr>
      </w:pPr>
      <w:r w:rsidRPr="00133B61">
        <w:rPr>
          <w:rFonts w:cstheme="minorHAnsi"/>
        </w:rPr>
        <w:t>E</w:t>
      </w:r>
    </w:p>
    <w:p w14:paraId="16BC73A5" w14:textId="23791878" w:rsidR="004C5DD5" w:rsidRPr="00133B61" w:rsidRDefault="0089654C" w:rsidP="004C5DD5">
      <w:pPr>
        <w:jc w:val="both"/>
        <w:rPr>
          <w:rFonts w:cstheme="minorHAnsi"/>
        </w:rPr>
      </w:pPr>
      <w:r w:rsidRPr="00133B61">
        <w:rPr>
          <w:rFonts w:cstheme="minorHAnsi"/>
        </w:rPr>
        <w:t xml:space="preserve">La Scuola </w:t>
      </w:r>
      <w:r w:rsidR="00133B61" w:rsidRPr="00133B61">
        <w:rPr>
          <w:rFonts w:cstheme="minorHAnsi"/>
          <w:highlight w:val="yellow"/>
        </w:rPr>
        <w:t>[nome della scuola]</w:t>
      </w:r>
      <w:r w:rsidR="009F4F96" w:rsidRPr="00133B61">
        <w:rPr>
          <w:rFonts w:cstheme="minorHAnsi"/>
        </w:rPr>
        <w:t xml:space="preserve"> codice fiscale</w:t>
      </w:r>
      <w:r w:rsidR="00133B61" w:rsidRPr="00133B61">
        <w:rPr>
          <w:rFonts w:cstheme="minorHAnsi"/>
        </w:rPr>
        <w:t xml:space="preserve"> </w:t>
      </w:r>
      <w:r w:rsidR="00133B61" w:rsidRPr="00133B61">
        <w:rPr>
          <w:rFonts w:cstheme="minorHAnsi"/>
          <w:highlight w:val="yellow"/>
        </w:rPr>
        <w:t>[codice fiscale]</w:t>
      </w:r>
      <w:r w:rsidR="009F4F96" w:rsidRPr="00133B61">
        <w:rPr>
          <w:rFonts w:cstheme="minorHAnsi"/>
        </w:rPr>
        <w:t>, d'ora in</w:t>
      </w:r>
      <w:r w:rsidR="00D24BAA" w:rsidRPr="00133B61">
        <w:rPr>
          <w:rFonts w:cstheme="minorHAnsi"/>
        </w:rPr>
        <w:t xml:space="preserve"> </w:t>
      </w:r>
      <w:r w:rsidR="009F4F96" w:rsidRPr="00133B61">
        <w:rPr>
          <w:rFonts w:cstheme="minorHAnsi"/>
        </w:rPr>
        <w:t>poi denominat</w:t>
      </w:r>
      <w:r w:rsidR="00326AEF" w:rsidRPr="00133B61">
        <w:rPr>
          <w:rFonts w:cstheme="minorHAnsi"/>
        </w:rPr>
        <w:t>a</w:t>
      </w:r>
      <w:r w:rsidR="009F4F96" w:rsidRPr="00133B61">
        <w:rPr>
          <w:rFonts w:cstheme="minorHAnsi"/>
        </w:rPr>
        <w:t xml:space="preserve"> "</w:t>
      </w:r>
      <w:r w:rsidR="009A1C16" w:rsidRPr="00133B61">
        <w:rPr>
          <w:rFonts w:cstheme="minorHAnsi"/>
        </w:rPr>
        <w:t>Scuola</w:t>
      </w:r>
      <w:r w:rsidR="009F4F96" w:rsidRPr="00133B61">
        <w:rPr>
          <w:rFonts w:cstheme="minorHAnsi"/>
        </w:rPr>
        <w:t>", rappresentat</w:t>
      </w:r>
      <w:r w:rsidR="00A5327B" w:rsidRPr="00133B61">
        <w:rPr>
          <w:rFonts w:cstheme="minorHAnsi"/>
        </w:rPr>
        <w:t>a</w:t>
      </w:r>
      <w:r w:rsidR="009F4F96" w:rsidRPr="00133B61">
        <w:rPr>
          <w:rFonts w:cstheme="minorHAnsi"/>
        </w:rPr>
        <w:t xml:space="preserve"> da</w:t>
      </w:r>
      <w:r w:rsidR="00133B61" w:rsidRPr="00133B61">
        <w:rPr>
          <w:rFonts w:cstheme="minorHAnsi"/>
        </w:rPr>
        <w:t xml:space="preserve"> </w:t>
      </w:r>
      <w:r w:rsidR="00133B61" w:rsidRPr="00133B61">
        <w:rPr>
          <w:rFonts w:cstheme="minorHAnsi"/>
          <w:highlight w:val="yellow"/>
        </w:rPr>
        <w:t>[nome e cognome</w:t>
      </w:r>
      <w:proofErr w:type="gramStart"/>
      <w:r w:rsidR="00133B61" w:rsidRPr="00133B61">
        <w:rPr>
          <w:rFonts w:cstheme="minorHAnsi"/>
          <w:highlight w:val="yellow"/>
        </w:rPr>
        <w:t>]</w:t>
      </w:r>
      <w:r w:rsidR="009F4F96" w:rsidRPr="00133B61">
        <w:rPr>
          <w:rFonts w:cstheme="minorHAnsi"/>
        </w:rPr>
        <w:t xml:space="preserve"> ,</w:t>
      </w:r>
      <w:proofErr w:type="gramEnd"/>
      <w:r w:rsidR="009F4F96" w:rsidRPr="00133B61">
        <w:rPr>
          <w:rFonts w:cstheme="minorHAnsi"/>
        </w:rPr>
        <w:t xml:space="preserve"> nat</w:t>
      </w:r>
      <w:r w:rsidR="009F4F96" w:rsidRPr="00133B61">
        <w:rPr>
          <w:rFonts w:cstheme="minorHAnsi"/>
          <w:highlight w:val="yellow"/>
        </w:rPr>
        <w:t>o</w:t>
      </w:r>
      <w:r w:rsidR="005B08C0" w:rsidRPr="00133B61">
        <w:rPr>
          <w:rFonts w:cstheme="minorHAnsi"/>
          <w:highlight w:val="yellow"/>
        </w:rPr>
        <w:t>/a</w:t>
      </w:r>
      <w:r w:rsidR="009F4F96" w:rsidRPr="00133B61">
        <w:rPr>
          <w:rFonts w:cstheme="minorHAnsi"/>
        </w:rPr>
        <w:t xml:space="preserve"> </w:t>
      </w:r>
      <w:proofErr w:type="spellStart"/>
      <w:r w:rsidR="009F4F96" w:rsidRPr="00133B61">
        <w:rPr>
          <w:rFonts w:cstheme="minorHAnsi"/>
        </w:rPr>
        <w:t>a</w:t>
      </w:r>
      <w:proofErr w:type="spellEnd"/>
      <w:r w:rsidR="00133B61" w:rsidRPr="00133B61">
        <w:rPr>
          <w:rFonts w:cstheme="minorHAnsi"/>
        </w:rPr>
        <w:t xml:space="preserve"> </w:t>
      </w:r>
      <w:r w:rsidR="00133B61" w:rsidRPr="00133B61">
        <w:rPr>
          <w:rFonts w:cstheme="minorHAnsi"/>
          <w:highlight w:val="yellow"/>
        </w:rPr>
        <w:t>[comune]</w:t>
      </w:r>
      <w:r w:rsidR="00D24BAA" w:rsidRPr="00133B61">
        <w:rPr>
          <w:rFonts w:cstheme="minorHAnsi"/>
        </w:rPr>
        <w:t xml:space="preserve"> </w:t>
      </w:r>
      <w:r w:rsidR="009F4F96" w:rsidRPr="00133B61">
        <w:rPr>
          <w:rFonts w:cstheme="minorHAnsi"/>
        </w:rPr>
        <w:t>il</w:t>
      </w:r>
      <w:r w:rsidR="00133B61" w:rsidRPr="00133B61">
        <w:rPr>
          <w:rFonts w:cstheme="minorHAnsi"/>
        </w:rPr>
        <w:t xml:space="preserve"> </w:t>
      </w:r>
      <w:r w:rsidR="00133B61" w:rsidRPr="00133B61">
        <w:rPr>
          <w:rFonts w:cstheme="minorHAnsi"/>
          <w:highlight w:val="yellow"/>
        </w:rPr>
        <w:t>[data]</w:t>
      </w:r>
      <w:r w:rsidR="009F4F96" w:rsidRPr="00133B61">
        <w:rPr>
          <w:rFonts w:cstheme="minorHAnsi"/>
        </w:rPr>
        <w:t xml:space="preserve"> in qualità di legale rappresentante pro tempore,</w:t>
      </w:r>
      <w:r w:rsidR="00D24BAA" w:rsidRPr="00133B61">
        <w:rPr>
          <w:rFonts w:cstheme="minorHAnsi"/>
        </w:rPr>
        <w:t xml:space="preserve"> </w:t>
      </w:r>
      <w:r w:rsidR="009F4F96" w:rsidRPr="00133B61">
        <w:rPr>
          <w:rFonts w:cstheme="minorHAnsi"/>
        </w:rPr>
        <w:t>domiciliat</w:t>
      </w:r>
      <w:r w:rsidR="009F4F96" w:rsidRPr="00133B61">
        <w:rPr>
          <w:rFonts w:cstheme="minorHAnsi"/>
          <w:highlight w:val="yellow"/>
        </w:rPr>
        <w:t>o</w:t>
      </w:r>
      <w:r w:rsidR="005B08C0" w:rsidRPr="00133B61">
        <w:rPr>
          <w:rFonts w:cstheme="minorHAnsi"/>
          <w:highlight w:val="yellow"/>
        </w:rPr>
        <w:t>/a</w:t>
      </w:r>
      <w:r w:rsidR="009F4F96" w:rsidRPr="00133B61">
        <w:rPr>
          <w:rFonts w:cstheme="minorHAnsi"/>
        </w:rPr>
        <w:t xml:space="preserve"> per la carica presso la sede</w:t>
      </w:r>
      <w:r w:rsidR="005B08C0" w:rsidRPr="00133B61">
        <w:rPr>
          <w:rFonts w:cstheme="minorHAnsi"/>
        </w:rPr>
        <w:t xml:space="preserve"> </w:t>
      </w:r>
      <w:r w:rsidR="00133B61" w:rsidRPr="00133B61">
        <w:rPr>
          <w:rFonts w:cstheme="minorHAnsi"/>
          <w:highlight w:val="yellow"/>
        </w:rPr>
        <w:t>[sede]</w:t>
      </w:r>
    </w:p>
    <w:p w14:paraId="56AD4D38" w14:textId="77777777" w:rsidR="004C5DD5" w:rsidRPr="00133B61" w:rsidRDefault="004C5DD5" w:rsidP="004C5DD5">
      <w:pPr>
        <w:jc w:val="both"/>
        <w:rPr>
          <w:rFonts w:cstheme="minorHAnsi"/>
        </w:rPr>
      </w:pPr>
    </w:p>
    <w:p w14:paraId="548613E8"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PREMESSO CHE</w:t>
      </w:r>
    </w:p>
    <w:p w14:paraId="36B69202" w14:textId="77777777"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 xml:space="preserve">l’introduzione dell’autonomia scolastica (DPR 275/99) ha creato le condizioni atte a promuovere il generale rinnovamento e sviluppo dell’offerta formativa; </w:t>
      </w:r>
    </w:p>
    <w:p w14:paraId="150C31B1" w14:textId="77777777"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l’art. 7 del DPR 275/99, comma 8, prevede che “le scuole, sia singolarmente che collegate in rete, possono stipulare convenzioni con università statali o private, ovvero con istituzioni, enti, associazioni o agenzie operanti sul territorio che intendono dare il loro apporto alla realizzazione di specifici obiettivi”;</w:t>
      </w:r>
    </w:p>
    <w:p w14:paraId="0FDB1A69" w14:textId="77777777"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le linee guida del Piano Lauree Scientifiche indicano di incentivare l’uso laboratoriale per potenziare le competenze scientifiche (Azione C) e di coinvolgere attivamente gli insegnanti nella loro crescita professionale mediante un confronto intenso con docenti universitari (Azione E);</w:t>
      </w:r>
    </w:p>
    <w:p w14:paraId="6390F014" w14:textId="77777777"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 xml:space="preserve">è interesse reciproco dell’Università e della Scuola far crescere interesse e attenzione per la matematica e per i corsi universitari ad indirizzo scientifico; </w:t>
      </w:r>
    </w:p>
    <w:p w14:paraId="4A572979" w14:textId="77777777"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tra le missioni dell’Università di Catania vi è la formazione docenti, la sperimentazione didattica e l’orientamento universitario;</w:t>
      </w:r>
    </w:p>
    <w:p w14:paraId="0CDEEA9D" w14:textId="77777777"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il Piano Triennale DMI prevede tra le attività di Terza Missione (sezione 6), nella sottosezione “Attività di formazione continua”, l’adesione al Progetto Liceo Matematico;</w:t>
      </w:r>
    </w:p>
    <w:p w14:paraId="5EDB52D7" w14:textId="77777777"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 xml:space="preserve">la Scuola è da anni impegnata a migliorare e potenziare le conoscenze e le competenze dei suoi studenti nelle discipline scientifiche; </w:t>
      </w:r>
    </w:p>
    <w:p w14:paraId="1F05D8BA" w14:textId="7AF26CA3"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 xml:space="preserve">dall’AS </w:t>
      </w:r>
      <w:r w:rsidR="00133B61" w:rsidRPr="00133B61">
        <w:rPr>
          <w:rFonts w:cstheme="minorHAnsi"/>
          <w:color w:val="000000" w:themeColor="text1"/>
          <w:highlight w:val="yellow"/>
        </w:rPr>
        <w:t>[anno di prima attivazione]</w:t>
      </w:r>
      <w:r w:rsidRPr="00133B61">
        <w:rPr>
          <w:rFonts w:cstheme="minorHAnsi"/>
          <w:color w:val="000000" w:themeColor="text1"/>
        </w:rPr>
        <w:t xml:space="preserve"> la Scuola, su proposta del DMI e previa approvazione del Collegio Docenti, ha inserito nel Piano Triennale dell’Offerta Formativa (PTOF) un corso finalizzato al potenziamento della formazione matematica e scientifica, aderendo al progetto denominato “Liceo Matematico”; </w:t>
      </w:r>
    </w:p>
    <w:p w14:paraId="105E6646" w14:textId="77777777" w:rsidR="00285EEB" w:rsidRPr="00133B61" w:rsidRDefault="00285EEB" w:rsidP="001E435A">
      <w:pPr>
        <w:ind w:left="720"/>
        <w:jc w:val="center"/>
        <w:rPr>
          <w:rFonts w:cstheme="minorHAnsi"/>
          <w:b/>
          <w:bCs/>
          <w:color w:val="000000" w:themeColor="text1"/>
        </w:rPr>
      </w:pPr>
    </w:p>
    <w:p w14:paraId="528A1E95" w14:textId="4C5C6A14" w:rsidR="001E435A" w:rsidRPr="00133B61" w:rsidRDefault="001E435A" w:rsidP="001E435A">
      <w:pPr>
        <w:ind w:left="720"/>
        <w:jc w:val="center"/>
        <w:rPr>
          <w:rFonts w:cstheme="minorHAnsi"/>
          <w:b/>
          <w:bCs/>
          <w:color w:val="000000" w:themeColor="text1"/>
        </w:rPr>
      </w:pPr>
      <w:r w:rsidRPr="00133B61">
        <w:rPr>
          <w:rFonts w:cstheme="minorHAnsi"/>
          <w:b/>
          <w:bCs/>
          <w:color w:val="000000" w:themeColor="text1"/>
        </w:rPr>
        <w:t>VISTA</w:t>
      </w:r>
    </w:p>
    <w:p w14:paraId="17C41E9C" w14:textId="625E7873" w:rsidR="001E435A" w:rsidRPr="00133B61" w:rsidRDefault="001E435A" w:rsidP="001E435A">
      <w:pPr>
        <w:numPr>
          <w:ilvl w:val="0"/>
          <w:numId w:val="2"/>
        </w:numPr>
        <w:spacing w:after="0" w:line="240" w:lineRule="auto"/>
        <w:jc w:val="both"/>
        <w:rPr>
          <w:rFonts w:cstheme="minorHAnsi"/>
          <w:color w:val="000000" w:themeColor="text1"/>
        </w:rPr>
      </w:pPr>
      <w:r w:rsidRPr="00133B61">
        <w:rPr>
          <w:rFonts w:cstheme="minorHAnsi"/>
          <w:color w:val="000000" w:themeColor="text1"/>
        </w:rPr>
        <w:t xml:space="preserve">la delibera del Consiglio di Istituto o del Collegio dei Docenti del </w:t>
      </w:r>
      <w:r w:rsidR="00133B61" w:rsidRPr="00133B61">
        <w:rPr>
          <w:rFonts w:cstheme="minorHAnsi"/>
          <w:color w:val="000000" w:themeColor="text1"/>
          <w:highlight w:val="yellow"/>
        </w:rPr>
        <w:t>[data]</w:t>
      </w:r>
      <w:r w:rsidRPr="00133B61">
        <w:rPr>
          <w:rFonts w:cstheme="minorHAnsi"/>
          <w:color w:val="000000" w:themeColor="text1"/>
        </w:rPr>
        <w:t xml:space="preserve">; </w:t>
      </w:r>
    </w:p>
    <w:p w14:paraId="2A9D0F12" w14:textId="77777777" w:rsidR="001E435A" w:rsidRPr="00133B61" w:rsidRDefault="001E435A" w:rsidP="001E435A">
      <w:pPr>
        <w:jc w:val="both"/>
        <w:rPr>
          <w:rFonts w:cstheme="minorHAnsi"/>
          <w:color w:val="000000" w:themeColor="text1"/>
        </w:rPr>
      </w:pPr>
    </w:p>
    <w:p w14:paraId="6657DC3C"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SI CONVIENE QUANTO SEGUE</w:t>
      </w:r>
    </w:p>
    <w:p w14:paraId="0FD5AE51"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1</w:t>
      </w:r>
    </w:p>
    <w:p w14:paraId="138D1166" w14:textId="77777777" w:rsidR="001E435A" w:rsidRPr="00133B61" w:rsidRDefault="001E435A" w:rsidP="001E435A">
      <w:pPr>
        <w:jc w:val="both"/>
        <w:rPr>
          <w:rFonts w:cstheme="minorHAnsi"/>
          <w:color w:val="000000" w:themeColor="text1"/>
        </w:rPr>
      </w:pPr>
      <w:r w:rsidRPr="00133B61">
        <w:rPr>
          <w:rFonts w:cstheme="minorHAnsi"/>
          <w:color w:val="000000" w:themeColor="text1"/>
        </w:rPr>
        <w:t xml:space="preserve">UNICT e la Scuola si impegnano a collaborare per progettare e realizzare specifiche attività didattiche rivolte agli studenti che frequentano le classi del Liceo Matematico, con l’obiettivo di potenziare le competenze degli studenti in matematica e informatica. Le attività didattiche, definite dai membri del gruppo di lavoro del DMI, si ispirano alle Indicazioni Nazionali e pongono particolare attenzione agli aspetti metodologici, fondazionali </w:t>
      </w:r>
      <w:r w:rsidRPr="00133B61">
        <w:rPr>
          <w:rFonts w:cstheme="minorHAnsi"/>
          <w:color w:val="000000" w:themeColor="text1"/>
        </w:rPr>
        <w:lastRenderedPageBreak/>
        <w:t xml:space="preserve">e storici della Matematica, alle sue applicazioni pratiche, al pensiero algoritmico e computazionale, all’Informatica e alle loro connessioni con il più ampio panorama culturale. </w:t>
      </w:r>
    </w:p>
    <w:p w14:paraId="4DF40AAF"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2</w:t>
      </w:r>
    </w:p>
    <w:p w14:paraId="264AC048" w14:textId="77777777" w:rsidR="001E435A" w:rsidRPr="00133B61" w:rsidRDefault="001E435A" w:rsidP="001E435A">
      <w:pPr>
        <w:jc w:val="both"/>
        <w:rPr>
          <w:rFonts w:cstheme="minorHAnsi"/>
          <w:color w:val="000000" w:themeColor="text1"/>
        </w:rPr>
      </w:pPr>
      <w:r w:rsidRPr="00133B61">
        <w:rPr>
          <w:rFonts w:cstheme="minorHAnsi"/>
          <w:color w:val="000000" w:themeColor="text1"/>
        </w:rPr>
        <w:t>Il DMI si impegna a designare:</w:t>
      </w:r>
    </w:p>
    <w:p w14:paraId="1CBF426E" w14:textId="37288A00" w:rsidR="001E435A" w:rsidRPr="00133B61" w:rsidRDefault="001E435A" w:rsidP="001E435A">
      <w:pPr>
        <w:pStyle w:val="Paragrafoelenco"/>
        <w:numPr>
          <w:ilvl w:val="0"/>
          <w:numId w:val="3"/>
        </w:numPr>
        <w:spacing w:after="0" w:line="240" w:lineRule="auto"/>
        <w:jc w:val="both"/>
        <w:rPr>
          <w:rFonts w:cstheme="minorHAnsi"/>
          <w:color w:val="000000" w:themeColor="text1"/>
        </w:rPr>
      </w:pPr>
      <w:r w:rsidRPr="00133B61">
        <w:rPr>
          <w:rFonts w:cstheme="minorHAnsi"/>
          <w:color w:val="000000" w:themeColor="text1"/>
        </w:rPr>
        <w:t xml:space="preserve">un Docente </w:t>
      </w:r>
      <w:r w:rsidR="00672B47" w:rsidRPr="00133B61">
        <w:rPr>
          <w:rFonts w:cstheme="minorHAnsi"/>
          <w:color w:val="000000" w:themeColor="text1"/>
        </w:rPr>
        <w:t>r</w:t>
      </w:r>
      <w:r w:rsidRPr="00133B61">
        <w:rPr>
          <w:rFonts w:cstheme="minorHAnsi"/>
          <w:color w:val="000000" w:themeColor="text1"/>
        </w:rPr>
        <w:t>esponsabile che coordina tutte le attività del progetto;</w:t>
      </w:r>
    </w:p>
    <w:p w14:paraId="7064393E" w14:textId="38CCA626" w:rsidR="001E435A" w:rsidRPr="00133B61" w:rsidRDefault="001E435A" w:rsidP="001E435A">
      <w:pPr>
        <w:pStyle w:val="Paragrafoelenco"/>
        <w:numPr>
          <w:ilvl w:val="0"/>
          <w:numId w:val="3"/>
        </w:numPr>
        <w:spacing w:after="0" w:line="240" w:lineRule="auto"/>
        <w:jc w:val="both"/>
        <w:rPr>
          <w:rFonts w:cstheme="minorHAnsi"/>
          <w:color w:val="000000" w:themeColor="text1"/>
        </w:rPr>
      </w:pPr>
      <w:r w:rsidRPr="00133B61">
        <w:rPr>
          <w:rFonts w:cstheme="minorHAnsi"/>
          <w:color w:val="000000" w:themeColor="text1"/>
        </w:rPr>
        <w:t xml:space="preserve">un </w:t>
      </w:r>
      <w:r w:rsidR="00672B47" w:rsidRPr="00133B61">
        <w:rPr>
          <w:rFonts w:cstheme="minorHAnsi"/>
          <w:color w:val="000000" w:themeColor="text1"/>
        </w:rPr>
        <w:t>g</w:t>
      </w:r>
      <w:r w:rsidRPr="00133B61">
        <w:rPr>
          <w:rFonts w:cstheme="minorHAnsi"/>
          <w:color w:val="000000" w:themeColor="text1"/>
        </w:rPr>
        <w:t xml:space="preserve">ruppo di </w:t>
      </w:r>
      <w:r w:rsidR="00672B47" w:rsidRPr="00133B61">
        <w:rPr>
          <w:rFonts w:cstheme="minorHAnsi"/>
          <w:color w:val="000000" w:themeColor="text1"/>
        </w:rPr>
        <w:t>l</w:t>
      </w:r>
      <w:r w:rsidRPr="00133B61">
        <w:rPr>
          <w:rFonts w:cstheme="minorHAnsi"/>
          <w:color w:val="000000" w:themeColor="text1"/>
        </w:rPr>
        <w:t>avoro che definisce le attività didattiche del progetto;</w:t>
      </w:r>
    </w:p>
    <w:p w14:paraId="4FF50412" w14:textId="061B22F1" w:rsidR="001E435A" w:rsidRPr="00133B61" w:rsidRDefault="001E435A" w:rsidP="001E435A">
      <w:pPr>
        <w:pStyle w:val="Paragrafoelenco"/>
        <w:numPr>
          <w:ilvl w:val="0"/>
          <w:numId w:val="3"/>
        </w:numPr>
        <w:spacing w:after="0" w:line="240" w:lineRule="auto"/>
        <w:jc w:val="both"/>
        <w:rPr>
          <w:rFonts w:cstheme="minorHAnsi"/>
          <w:color w:val="000000" w:themeColor="text1"/>
        </w:rPr>
      </w:pPr>
      <w:r w:rsidRPr="00133B61">
        <w:rPr>
          <w:rFonts w:cstheme="minorHAnsi"/>
          <w:color w:val="000000" w:themeColor="text1"/>
        </w:rPr>
        <w:t xml:space="preserve">i Docenti </w:t>
      </w:r>
      <w:r w:rsidR="00672B47" w:rsidRPr="00133B61">
        <w:rPr>
          <w:rFonts w:cstheme="minorHAnsi"/>
          <w:color w:val="000000" w:themeColor="text1"/>
        </w:rPr>
        <w:t>i</w:t>
      </w:r>
      <w:r w:rsidRPr="00133B61">
        <w:rPr>
          <w:rFonts w:cstheme="minorHAnsi"/>
          <w:color w:val="000000" w:themeColor="text1"/>
        </w:rPr>
        <w:t>ncaricati, interni o esterni, che progettano le attività didattiche rivolte agli studenti e svolgono la formazione ai docenti della Scuola.</w:t>
      </w:r>
    </w:p>
    <w:p w14:paraId="05AA0CD2" w14:textId="77777777" w:rsidR="001E435A" w:rsidRPr="00133B61" w:rsidRDefault="001E435A" w:rsidP="00F11853">
      <w:pPr>
        <w:jc w:val="both"/>
        <w:rPr>
          <w:rFonts w:cstheme="minorHAnsi"/>
          <w:color w:val="000000" w:themeColor="text1"/>
        </w:rPr>
      </w:pPr>
      <w:r w:rsidRPr="00133B61">
        <w:rPr>
          <w:rFonts w:cstheme="minorHAnsi"/>
          <w:color w:val="000000" w:themeColor="text1"/>
        </w:rPr>
        <w:t>La Scuola si impegna a designare:</w:t>
      </w:r>
    </w:p>
    <w:p w14:paraId="67BA8571" w14:textId="6C42FCB2" w:rsidR="001E435A" w:rsidRPr="00133B61" w:rsidRDefault="001E435A" w:rsidP="001E435A">
      <w:pPr>
        <w:pStyle w:val="Paragrafoelenco"/>
        <w:numPr>
          <w:ilvl w:val="0"/>
          <w:numId w:val="3"/>
        </w:numPr>
        <w:spacing w:after="0" w:line="240" w:lineRule="auto"/>
        <w:jc w:val="both"/>
        <w:rPr>
          <w:rFonts w:cstheme="minorHAnsi"/>
          <w:color w:val="000000" w:themeColor="text1"/>
        </w:rPr>
      </w:pPr>
      <w:r w:rsidRPr="00133B61">
        <w:rPr>
          <w:rFonts w:cstheme="minorHAnsi"/>
          <w:color w:val="000000" w:themeColor="text1"/>
        </w:rPr>
        <w:t xml:space="preserve">un Docente di </w:t>
      </w:r>
      <w:r w:rsidR="00672B47" w:rsidRPr="00133B61">
        <w:rPr>
          <w:rFonts w:cstheme="minorHAnsi"/>
          <w:color w:val="000000" w:themeColor="text1"/>
        </w:rPr>
        <w:t>r</w:t>
      </w:r>
      <w:r w:rsidRPr="00133B61">
        <w:rPr>
          <w:rFonts w:cstheme="minorHAnsi"/>
          <w:color w:val="000000" w:themeColor="text1"/>
        </w:rPr>
        <w:t>iferimento che cura i rapporti con il DMI;</w:t>
      </w:r>
    </w:p>
    <w:p w14:paraId="799E1FE2" w14:textId="77777777" w:rsidR="001E435A" w:rsidRPr="00133B61" w:rsidRDefault="001E435A" w:rsidP="001E435A">
      <w:pPr>
        <w:pStyle w:val="Paragrafoelenco"/>
        <w:numPr>
          <w:ilvl w:val="0"/>
          <w:numId w:val="3"/>
        </w:numPr>
        <w:spacing w:after="0" w:line="240" w:lineRule="auto"/>
        <w:jc w:val="both"/>
        <w:rPr>
          <w:rFonts w:cstheme="minorHAnsi"/>
          <w:color w:val="000000" w:themeColor="text1"/>
        </w:rPr>
      </w:pPr>
      <w:r w:rsidRPr="00133B61">
        <w:rPr>
          <w:rFonts w:cstheme="minorHAnsi"/>
          <w:color w:val="000000" w:themeColor="text1"/>
        </w:rPr>
        <w:t>i Docenti del Liceo Matematico che partecipano alle attività di formazione e realizzano le attività didattiche nelle classi che hanno aderito al progetto Liceo Matematico.</w:t>
      </w:r>
    </w:p>
    <w:p w14:paraId="423A0727" w14:textId="77777777" w:rsidR="001E435A" w:rsidRPr="00133B61" w:rsidRDefault="001E435A" w:rsidP="001E435A">
      <w:pPr>
        <w:ind w:left="360"/>
        <w:jc w:val="both"/>
        <w:rPr>
          <w:rFonts w:cstheme="minorHAnsi"/>
          <w:color w:val="000000" w:themeColor="text1"/>
        </w:rPr>
      </w:pPr>
      <w:r w:rsidRPr="00133B61">
        <w:rPr>
          <w:rFonts w:cstheme="minorHAnsi"/>
          <w:color w:val="000000" w:themeColor="text1"/>
        </w:rPr>
        <w:t>La Scuola si impegna, altresì, ad individuare le sezioni di Liceo Matematico in cui realizzare le specifiche attività didattiche.</w:t>
      </w:r>
    </w:p>
    <w:p w14:paraId="4948AD04"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3</w:t>
      </w:r>
    </w:p>
    <w:p w14:paraId="04224F25" w14:textId="77777777" w:rsidR="001E435A" w:rsidRPr="00133B61" w:rsidRDefault="001E435A" w:rsidP="001E435A">
      <w:pPr>
        <w:jc w:val="both"/>
        <w:rPr>
          <w:rFonts w:cstheme="minorHAnsi"/>
          <w:strike/>
          <w:color w:val="000000" w:themeColor="text1"/>
        </w:rPr>
      </w:pPr>
      <w:r w:rsidRPr="00133B61">
        <w:rPr>
          <w:rFonts w:cstheme="minorHAnsi"/>
          <w:color w:val="000000" w:themeColor="text1"/>
        </w:rPr>
        <w:t xml:space="preserve">Per il raggiungimento degli obiettivi indicati nell’art. 1, il DMI si impegna a organizzare incontri di formazione tenuti dai </w:t>
      </w:r>
      <w:r w:rsidRPr="00133B61">
        <w:rPr>
          <w:rFonts w:cstheme="minorHAnsi"/>
          <w:i/>
          <w:iCs/>
          <w:color w:val="000000" w:themeColor="text1"/>
        </w:rPr>
        <w:t>Docenti Incaricati</w:t>
      </w:r>
      <w:r w:rsidRPr="00133B61">
        <w:rPr>
          <w:rFonts w:cstheme="minorHAnsi"/>
          <w:color w:val="000000" w:themeColor="text1"/>
        </w:rPr>
        <w:t xml:space="preserve"> e rivolti ai </w:t>
      </w:r>
      <w:r w:rsidRPr="00133B61">
        <w:rPr>
          <w:rFonts w:cstheme="minorHAnsi"/>
          <w:i/>
          <w:iCs/>
          <w:color w:val="000000" w:themeColor="text1"/>
        </w:rPr>
        <w:t>Docenti del Liceo Matematico</w:t>
      </w:r>
      <w:r w:rsidRPr="00133B61">
        <w:rPr>
          <w:rFonts w:cstheme="minorHAnsi"/>
          <w:color w:val="000000" w:themeColor="text1"/>
        </w:rPr>
        <w:t>, gli incontri sono finalizzati alla condivisione delle specifiche attività didattiche progettate. Ogni attività di formazione ha una durata minima di 6 ore, massima di 10.</w:t>
      </w:r>
    </w:p>
    <w:p w14:paraId="3342E601" w14:textId="77777777" w:rsidR="001E435A" w:rsidRPr="00133B61" w:rsidRDefault="001E435A" w:rsidP="001E435A">
      <w:pPr>
        <w:jc w:val="both"/>
        <w:rPr>
          <w:rFonts w:cstheme="minorHAnsi"/>
          <w:color w:val="000000" w:themeColor="text1"/>
        </w:rPr>
      </w:pPr>
      <w:r w:rsidRPr="00133B61">
        <w:rPr>
          <w:rFonts w:cstheme="minorHAnsi"/>
          <w:color w:val="000000" w:themeColor="text1"/>
        </w:rPr>
        <w:t>La formazione potrà svolgersi presso i locali del DMI, in modalità a distanza o in forma mista. I Do</w:t>
      </w:r>
      <w:r w:rsidRPr="00133B61">
        <w:rPr>
          <w:rFonts w:cstheme="minorHAnsi"/>
          <w:i/>
          <w:iCs/>
          <w:color w:val="000000" w:themeColor="text1"/>
        </w:rPr>
        <w:t xml:space="preserve">centi del Liceo Matematico </w:t>
      </w:r>
      <w:r w:rsidRPr="00133B61">
        <w:rPr>
          <w:rFonts w:cstheme="minorHAnsi"/>
          <w:color w:val="000000" w:themeColor="text1"/>
        </w:rPr>
        <w:t xml:space="preserve">si impegnano a partecipare agli incontri formativi e a realizzare, successivamente, con gli studenti e le studentesse della Scuola, le attività pianificate durante gli incontri di formazione. Le attività rivolte agli studenti si svolgeranno nei locali della Scuola. Ai </w:t>
      </w:r>
      <w:r w:rsidRPr="00133B61">
        <w:rPr>
          <w:rFonts w:cstheme="minorHAnsi"/>
          <w:i/>
          <w:iCs/>
          <w:color w:val="000000" w:themeColor="text1"/>
        </w:rPr>
        <w:t>Docenti</w:t>
      </w:r>
      <w:r w:rsidRPr="00133B61">
        <w:rPr>
          <w:rFonts w:cstheme="minorHAnsi"/>
          <w:color w:val="000000" w:themeColor="text1"/>
        </w:rPr>
        <w:t xml:space="preserve"> </w:t>
      </w:r>
      <w:r w:rsidRPr="00133B61">
        <w:rPr>
          <w:rFonts w:cstheme="minorHAnsi"/>
          <w:i/>
          <w:iCs/>
          <w:color w:val="000000" w:themeColor="text1"/>
        </w:rPr>
        <w:t>del Liceo Matematico</w:t>
      </w:r>
      <w:r w:rsidRPr="00133B61">
        <w:rPr>
          <w:rFonts w:cstheme="minorHAnsi"/>
          <w:color w:val="000000" w:themeColor="text1"/>
        </w:rPr>
        <w:t xml:space="preserve"> verrà rilasciato un certificato attestante la partecipazione alla formazione.</w:t>
      </w:r>
    </w:p>
    <w:p w14:paraId="199838C6"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4</w:t>
      </w:r>
    </w:p>
    <w:p w14:paraId="7FC6BCF2" w14:textId="77777777" w:rsidR="001E435A" w:rsidRPr="00133B61" w:rsidRDefault="001E435A" w:rsidP="001E435A">
      <w:pPr>
        <w:jc w:val="both"/>
        <w:rPr>
          <w:rFonts w:cstheme="minorHAnsi"/>
          <w:color w:val="000000" w:themeColor="text1"/>
        </w:rPr>
      </w:pPr>
      <w:r w:rsidRPr="00133B61">
        <w:rPr>
          <w:rFonts w:cstheme="minorHAnsi"/>
          <w:color w:val="000000" w:themeColor="text1"/>
        </w:rPr>
        <w:t xml:space="preserve">Le parti si impegnano a definire strumenti per il coordinamento delle iniziative formative e per la valutazione dei risultati finali, che saranno monitorati dal </w:t>
      </w:r>
      <w:r w:rsidRPr="00133B61">
        <w:rPr>
          <w:rFonts w:cstheme="minorHAnsi"/>
          <w:i/>
          <w:iCs/>
          <w:color w:val="000000" w:themeColor="text1"/>
        </w:rPr>
        <w:t>Gruppo di Lavoro</w:t>
      </w:r>
      <w:r w:rsidRPr="00133B61">
        <w:rPr>
          <w:rFonts w:cstheme="minorHAnsi"/>
          <w:color w:val="000000" w:themeColor="text1"/>
        </w:rPr>
        <w:t xml:space="preserve">. La Scuola garantisce la partecipazione del proprio personale alle attività di formazione e dispone che vengano aggiunte 30 ore di Matematica nel monte ore annuale delle </w:t>
      </w:r>
      <w:r w:rsidRPr="00133B61">
        <w:rPr>
          <w:rFonts w:cstheme="minorHAnsi"/>
          <w:i/>
          <w:iCs/>
          <w:color w:val="000000" w:themeColor="text1"/>
        </w:rPr>
        <w:t>sezioni di Liceo Matematico.</w:t>
      </w:r>
    </w:p>
    <w:p w14:paraId="064B98E3" w14:textId="77777777" w:rsidR="001E435A" w:rsidRPr="00133B61" w:rsidRDefault="001E435A" w:rsidP="001E435A">
      <w:pPr>
        <w:jc w:val="both"/>
        <w:rPr>
          <w:rFonts w:cstheme="minorHAnsi"/>
          <w:color w:val="000000" w:themeColor="text1"/>
        </w:rPr>
      </w:pPr>
      <w:r w:rsidRPr="00133B61">
        <w:rPr>
          <w:rFonts w:cstheme="minorHAnsi"/>
          <w:color w:val="000000" w:themeColor="text1"/>
        </w:rPr>
        <w:t>La Scuola potrà rilasciare un certificato attestante le conoscenze e le competenze agli studenti che frequentano le sezioni di Liceo Matematico per l’intero quinquennio.</w:t>
      </w:r>
    </w:p>
    <w:p w14:paraId="131F3FA4"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5</w:t>
      </w:r>
    </w:p>
    <w:p w14:paraId="30D923E9" w14:textId="77777777" w:rsidR="001E435A" w:rsidRPr="00133B61" w:rsidRDefault="001E435A" w:rsidP="001E435A">
      <w:pPr>
        <w:jc w:val="both"/>
        <w:rPr>
          <w:rFonts w:cstheme="minorHAnsi"/>
          <w:color w:val="000000" w:themeColor="text1"/>
        </w:rPr>
      </w:pPr>
      <w:r w:rsidRPr="00133B61">
        <w:rPr>
          <w:rFonts w:cstheme="minorHAnsi"/>
          <w:color w:val="000000" w:themeColor="text1"/>
        </w:rPr>
        <w:t>Il presente Protocollo entra in vigore dalla data di sottoscrizione e ha una durata triennale, rinnovabile su richiesta della Scuola, con preavviso minimo di sei mesi tramite PEC e mediante comunicazione scritta, firmata digitalmente dal legale rappresentante pro tempore. Qualsiasi modifica al Protocollo dovrà essere formalizzata per iscritto e avrà validità esclusivamente dopo la firma di entrambe le parti.</w:t>
      </w:r>
    </w:p>
    <w:p w14:paraId="5846FCD5"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6</w:t>
      </w:r>
    </w:p>
    <w:p w14:paraId="365E4D3F" w14:textId="51A6E412" w:rsidR="001E435A" w:rsidRPr="00133B61" w:rsidRDefault="001E435A" w:rsidP="001E435A">
      <w:pPr>
        <w:jc w:val="both"/>
        <w:rPr>
          <w:rFonts w:cstheme="minorHAnsi"/>
          <w:strike/>
          <w:color w:val="000000" w:themeColor="text1"/>
        </w:rPr>
      </w:pPr>
      <w:r w:rsidRPr="00133B61">
        <w:rPr>
          <w:rFonts w:cstheme="minorHAnsi"/>
          <w:color w:val="000000" w:themeColor="text1"/>
        </w:rPr>
        <w:t xml:space="preserve">Le attività di formazione per i </w:t>
      </w:r>
      <w:r w:rsidRPr="00133B61">
        <w:rPr>
          <w:rFonts w:cstheme="minorHAnsi"/>
          <w:i/>
          <w:iCs/>
          <w:color w:val="000000" w:themeColor="text1"/>
        </w:rPr>
        <w:t>Docenti del Liceo Matematico</w:t>
      </w:r>
      <w:r w:rsidRPr="00133B61">
        <w:rPr>
          <w:rFonts w:cstheme="minorHAnsi"/>
          <w:color w:val="000000" w:themeColor="text1"/>
        </w:rPr>
        <w:t xml:space="preserve"> sono erogate dai </w:t>
      </w:r>
      <w:r w:rsidRPr="00133B61">
        <w:rPr>
          <w:rFonts w:cstheme="minorHAnsi"/>
          <w:i/>
          <w:iCs/>
          <w:color w:val="000000" w:themeColor="text1"/>
        </w:rPr>
        <w:t xml:space="preserve">Docenti Incaricati </w:t>
      </w:r>
      <w:r w:rsidRPr="00133B61">
        <w:rPr>
          <w:rFonts w:cstheme="minorHAnsi"/>
          <w:color w:val="000000" w:themeColor="text1"/>
        </w:rPr>
        <w:t xml:space="preserve">del DMI o da esperti esterni attraverso attività seminariali. L’attività svolta dai </w:t>
      </w:r>
      <w:r w:rsidRPr="00133B61">
        <w:rPr>
          <w:rFonts w:cstheme="minorHAnsi"/>
          <w:i/>
          <w:iCs/>
          <w:color w:val="000000" w:themeColor="text1"/>
        </w:rPr>
        <w:t>Docenti Incaricati</w:t>
      </w:r>
      <w:r w:rsidRPr="00133B61">
        <w:rPr>
          <w:rFonts w:cstheme="minorHAnsi"/>
          <w:color w:val="000000" w:themeColor="text1"/>
        </w:rPr>
        <w:t xml:space="preserve"> </w:t>
      </w:r>
      <w:r w:rsidRPr="00133B61">
        <w:rPr>
          <w:rFonts w:cstheme="minorHAnsi"/>
          <w:i/>
          <w:iCs/>
          <w:color w:val="000000" w:themeColor="text1"/>
        </w:rPr>
        <w:t xml:space="preserve">interni, </w:t>
      </w:r>
      <w:r w:rsidRPr="00133B61">
        <w:rPr>
          <w:rFonts w:cstheme="minorHAnsi"/>
          <w:color w:val="000000" w:themeColor="text1"/>
        </w:rPr>
        <w:t xml:space="preserve">svolta oltre </w:t>
      </w:r>
      <w:r w:rsidRPr="00133B61">
        <w:rPr>
          <w:rFonts w:cstheme="minorHAnsi"/>
          <w:color w:val="000000" w:themeColor="text1"/>
        </w:rPr>
        <w:lastRenderedPageBreak/>
        <w:t xml:space="preserve">l’impegno orario dovuto, e le attività seminariali svolte da </w:t>
      </w:r>
      <w:r w:rsidRPr="00133B61">
        <w:rPr>
          <w:rFonts w:cstheme="minorHAnsi"/>
          <w:i/>
          <w:iCs/>
          <w:color w:val="000000" w:themeColor="text1"/>
        </w:rPr>
        <w:t>Docenti Incaricati esterni</w:t>
      </w:r>
      <w:r w:rsidRPr="00133B61">
        <w:rPr>
          <w:rFonts w:cstheme="minorHAnsi"/>
          <w:color w:val="000000" w:themeColor="text1"/>
        </w:rPr>
        <w:t>, potranno essere retribuite, ove possibile, su fondi del PLS Matematica, PLS Informatica</w:t>
      </w:r>
      <w:r w:rsidR="000710D3" w:rsidRPr="00133B61">
        <w:rPr>
          <w:rFonts w:cstheme="minorHAnsi"/>
          <w:color w:val="000000" w:themeColor="text1"/>
        </w:rPr>
        <w:t>.</w:t>
      </w:r>
      <w:r w:rsidRPr="00133B61">
        <w:rPr>
          <w:rFonts w:cstheme="minorHAnsi"/>
          <w:color w:val="000000" w:themeColor="text1"/>
        </w:rPr>
        <w:t xml:space="preserve"> </w:t>
      </w:r>
    </w:p>
    <w:p w14:paraId="040CBDA4"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7</w:t>
      </w:r>
    </w:p>
    <w:p w14:paraId="54798257" w14:textId="77777777" w:rsidR="00BD48E0" w:rsidRPr="00133B61" w:rsidRDefault="00BD48E0" w:rsidP="00BD48E0">
      <w:pPr>
        <w:jc w:val="both"/>
        <w:rPr>
          <w:rFonts w:cstheme="minorHAnsi"/>
        </w:rPr>
      </w:pPr>
      <w:r w:rsidRPr="00133B61">
        <w:rPr>
          <w:rFonts w:cstheme="minorHAnsi"/>
        </w:rPr>
        <w:t>Le parti dichiarano reciprocamente di essere informate e, per quanto di ragione, espressamente acconsentire che i “dati personali” forniti o comunque raccolti in conseguenza e nel corso dell’esecuzione della presente Convenzione, verranno trattati esclusivamente per le finalità della Convenzione, Titolari per quanto concerne il presente articolo sono le parti come sopra individuate, denominate e domiciliate.</w:t>
      </w:r>
    </w:p>
    <w:p w14:paraId="548A1B1F" w14:textId="77777777" w:rsidR="00BD48E0" w:rsidRPr="00133B61" w:rsidRDefault="00BD48E0" w:rsidP="00BD48E0">
      <w:pPr>
        <w:jc w:val="both"/>
        <w:rPr>
          <w:rFonts w:cstheme="minorHAnsi"/>
        </w:rPr>
      </w:pPr>
      <w:r w:rsidRPr="00133B61">
        <w:rPr>
          <w:rFonts w:cstheme="minorHAnsi"/>
        </w:rPr>
        <w:t xml:space="preserve">Le parti dichiarano infine di essere informate sui diritti sanciti dall’art. 7 del </w:t>
      </w:r>
      <w:proofErr w:type="spellStart"/>
      <w:r w:rsidRPr="00133B61">
        <w:rPr>
          <w:rFonts w:cstheme="minorHAnsi"/>
        </w:rPr>
        <w:t>D.Lgs.</w:t>
      </w:r>
      <w:proofErr w:type="spellEnd"/>
      <w:r w:rsidRPr="00133B61">
        <w:rPr>
          <w:rFonts w:cstheme="minorHAnsi"/>
        </w:rPr>
        <w:t xml:space="preserve"> 196/03, dell’art. 13 del Regolamento UE 679/2016 e del </w:t>
      </w:r>
      <w:proofErr w:type="spellStart"/>
      <w:r w:rsidRPr="00133B61">
        <w:rPr>
          <w:rFonts w:cstheme="minorHAnsi"/>
        </w:rPr>
        <w:t>D.Lgs</w:t>
      </w:r>
      <w:proofErr w:type="spellEnd"/>
      <w:r w:rsidRPr="00133B61">
        <w:rPr>
          <w:rFonts w:cstheme="minorHAnsi"/>
        </w:rPr>
        <w:t xml:space="preserve"> n.101 del 2018, che i dati personali raccolti saranno trattati, anche con strumenti informatici, esclusivamente nell’ambito del procedimento per il quale la presente dichiarazione viene resa.</w:t>
      </w:r>
    </w:p>
    <w:p w14:paraId="65366BF4"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8</w:t>
      </w:r>
    </w:p>
    <w:p w14:paraId="73D86E44" w14:textId="77777777" w:rsidR="001E435A" w:rsidRPr="00133B61" w:rsidRDefault="001E435A" w:rsidP="001E435A">
      <w:pPr>
        <w:jc w:val="both"/>
        <w:rPr>
          <w:rFonts w:cstheme="minorHAnsi"/>
          <w:color w:val="000000" w:themeColor="text1"/>
        </w:rPr>
      </w:pPr>
      <w:r w:rsidRPr="00133B61">
        <w:rPr>
          <w:rFonts w:cstheme="minorHAnsi"/>
          <w:color w:val="000000" w:themeColor="text1"/>
        </w:rPr>
        <w:t xml:space="preserve">Ciascuna parte dichiara di aver preso visione del Codice Etico e di Comportamento emanato dall’altra parte, pubblicato sul relativo sito istituzionale e di impegnarsi ad osservare e a far osservare ai propri collaboratori, per quanto compatibili con il ruolo e con l’attività svolta, gli obblighi di condotta in essi previsti, nonché di essere consapevole che la violazione di tali obblighi di condotta può costituire causa di risoluzione del presente accordo, fermo restando l’eventuale risarcimento del danno. </w:t>
      </w:r>
    </w:p>
    <w:p w14:paraId="33B825D7" w14:textId="77777777" w:rsidR="001E435A" w:rsidRPr="00133B61" w:rsidRDefault="001E435A" w:rsidP="001E435A">
      <w:pPr>
        <w:jc w:val="center"/>
        <w:rPr>
          <w:rFonts w:cstheme="minorHAnsi"/>
          <w:b/>
          <w:bCs/>
          <w:color w:val="000000" w:themeColor="text1"/>
        </w:rPr>
      </w:pPr>
      <w:r w:rsidRPr="00133B61">
        <w:rPr>
          <w:rFonts w:cstheme="minorHAnsi"/>
          <w:b/>
          <w:bCs/>
          <w:color w:val="000000" w:themeColor="text1"/>
        </w:rPr>
        <w:t>Articolo 9</w:t>
      </w:r>
    </w:p>
    <w:p w14:paraId="2CBD1C87" w14:textId="7B0CCD32" w:rsidR="00555868" w:rsidRPr="00555868" w:rsidRDefault="008667E7" w:rsidP="00555868">
      <w:pPr>
        <w:jc w:val="both"/>
        <w:rPr>
          <w:rFonts w:cstheme="minorHAnsi"/>
        </w:rPr>
      </w:pPr>
      <w:r w:rsidRPr="00555868">
        <w:rPr>
          <w:rFonts w:cstheme="minorHAnsi"/>
        </w:rPr>
        <w:t xml:space="preserve">Il presente </w:t>
      </w:r>
      <w:r w:rsidR="00135672" w:rsidRPr="00555868">
        <w:rPr>
          <w:rFonts w:cstheme="minorHAnsi"/>
        </w:rPr>
        <w:t>protocollo</w:t>
      </w:r>
      <w:r w:rsidRPr="00555868">
        <w:rPr>
          <w:rFonts w:cstheme="minorHAnsi"/>
        </w:rPr>
        <w:t xml:space="preserve">, sottoscritto digitalmente, è soggetto a registrazione in caso d’uso, ai sensi dell’art. 4 tariffa parte II del D.P.R. 131/26.04.1986 con oneri a carico della parte richiedente.  Il presente atto </w:t>
      </w:r>
      <w:r w:rsidR="00555868" w:rsidRPr="00555868">
        <w:rPr>
          <w:rFonts w:cstheme="minorHAnsi"/>
        </w:rPr>
        <w:t>viene redatto sotto forma di corrispondenza</w:t>
      </w:r>
      <w:r w:rsidR="00555868">
        <w:rPr>
          <w:rFonts w:cstheme="minorHAnsi"/>
        </w:rPr>
        <w:t xml:space="preserve">, ovvero </w:t>
      </w:r>
      <w:r w:rsidR="00555868" w:rsidRPr="00555868">
        <w:rPr>
          <w:rFonts w:cstheme="minorHAnsi"/>
        </w:rPr>
        <w:t>con l'apposizione della firma digitale in documenti distinti ma identici.</w:t>
      </w:r>
    </w:p>
    <w:p w14:paraId="7E96F323" w14:textId="77777777" w:rsidR="001E435A" w:rsidRPr="00555868" w:rsidRDefault="001E435A" w:rsidP="001E435A">
      <w:pPr>
        <w:jc w:val="center"/>
        <w:rPr>
          <w:rFonts w:cstheme="minorHAnsi"/>
          <w:b/>
          <w:bCs/>
          <w:color w:val="000000" w:themeColor="text1"/>
        </w:rPr>
      </w:pPr>
      <w:r w:rsidRPr="00555868">
        <w:rPr>
          <w:rFonts w:cstheme="minorHAnsi"/>
          <w:b/>
          <w:bCs/>
          <w:color w:val="000000" w:themeColor="text1"/>
        </w:rPr>
        <w:t>Articolo 10</w:t>
      </w:r>
    </w:p>
    <w:p w14:paraId="54175602" w14:textId="34B6FB62" w:rsidR="004835C2" w:rsidRPr="00555868" w:rsidRDefault="001E435A" w:rsidP="004835C2">
      <w:pPr>
        <w:jc w:val="both"/>
        <w:rPr>
          <w:rFonts w:cstheme="minorHAnsi"/>
        </w:rPr>
      </w:pPr>
      <w:r w:rsidRPr="00555868">
        <w:rPr>
          <w:rFonts w:cstheme="minorHAnsi"/>
        </w:rPr>
        <w:t>Le parti si impegnano a risolvere in via amichevole qualsiasi controversia derivante dall’applicazione del presente Protocollo.</w:t>
      </w:r>
      <w:r w:rsidR="00370B6B" w:rsidRPr="00555868">
        <w:rPr>
          <w:rFonts w:cstheme="minorHAnsi"/>
        </w:rPr>
        <w:t xml:space="preserve"> </w:t>
      </w:r>
      <w:r w:rsidR="004835C2" w:rsidRPr="00555868">
        <w:rPr>
          <w:rFonts w:cstheme="minorHAnsi"/>
        </w:rPr>
        <w:t>Qualora non fosse possibile, il foro competente sarà quello di Catania.</w:t>
      </w:r>
    </w:p>
    <w:p w14:paraId="2BA3C02A" w14:textId="3AC03756" w:rsidR="009C1AD6" w:rsidRPr="00133B61" w:rsidRDefault="009C1AD6" w:rsidP="009C1AD6">
      <w:pPr>
        <w:jc w:val="center"/>
        <w:rPr>
          <w:rFonts w:cstheme="minorHAnsi"/>
        </w:rPr>
      </w:pPr>
    </w:p>
    <w:tbl>
      <w:tblPr>
        <w:tblStyle w:val="Grigliatabella"/>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6E0A8B" w:rsidRPr="00133B61" w14:paraId="6813ED62" w14:textId="77777777" w:rsidTr="006E3338">
        <w:trPr>
          <w:trHeight w:val="1569"/>
        </w:trPr>
        <w:tc>
          <w:tcPr>
            <w:tcW w:w="4962" w:type="dxa"/>
          </w:tcPr>
          <w:p w14:paraId="0C948B6A" w14:textId="77777777" w:rsidR="006E0A8B" w:rsidRPr="00133B61" w:rsidRDefault="006E0A8B" w:rsidP="006E3338">
            <w:pPr>
              <w:jc w:val="center"/>
              <w:rPr>
                <w:rFonts w:cstheme="minorHAnsi"/>
                <w:b/>
                <w:bCs/>
              </w:rPr>
            </w:pPr>
            <w:r w:rsidRPr="00133B61">
              <w:rPr>
                <w:rFonts w:cstheme="minorHAnsi"/>
                <w:b/>
                <w:bCs/>
              </w:rPr>
              <w:t>Università degli Studi di Catania</w:t>
            </w:r>
          </w:p>
          <w:p w14:paraId="39B5167C" w14:textId="77777777" w:rsidR="006E0A8B" w:rsidRPr="00133B61" w:rsidRDefault="006E0A8B" w:rsidP="006E3338">
            <w:pPr>
              <w:jc w:val="center"/>
              <w:rPr>
                <w:rFonts w:cstheme="minorHAnsi"/>
              </w:rPr>
            </w:pPr>
            <w:r w:rsidRPr="00133B61">
              <w:rPr>
                <w:rFonts w:cstheme="minorHAnsi"/>
              </w:rPr>
              <w:t>Il Rettore</w:t>
            </w:r>
          </w:p>
          <w:p w14:paraId="732C56A1" w14:textId="3FA8EC63" w:rsidR="006E0A8B" w:rsidRPr="00133B61" w:rsidRDefault="006E0A8B" w:rsidP="006E3338">
            <w:pPr>
              <w:jc w:val="center"/>
              <w:rPr>
                <w:rFonts w:cstheme="minorHAnsi"/>
              </w:rPr>
            </w:pPr>
            <w:r w:rsidRPr="00133B61">
              <w:rPr>
                <w:rFonts w:cstheme="minorHAnsi"/>
              </w:rPr>
              <w:t xml:space="preserve">Prof. </w:t>
            </w:r>
            <w:r w:rsidR="00213519">
              <w:rPr>
                <w:rFonts w:cstheme="minorHAnsi"/>
              </w:rPr>
              <w:t>Enrico Foti</w:t>
            </w:r>
          </w:p>
          <w:p w14:paraId="0704588D" w14:textId="77777777" w:rsidR="006E0A8B" w:rsidRPr="00133B61" w:rsidRDefault="006E0A8B" w:rsidP="006E3338">
            <w:pPr>
              <w:jc w:val="center"/>
              <w:rPr>
                <w:rFonts w:cstheme="minorHAnsi"/>
              </w:rPr>
            </w:pPr>
          </w:p>
          <w:p w14:paraId="4CC5C8A7" w14:textId="77777777" w:rsidR="006E0A8B" w:rsidRPr="00133B61" w:rsidRDefault="006E0A8B" w:rsidP="006E3338">
            <w:pPr>
              <w:jc w:val="center"/>
              <w:rPr>
                <w:rFonts w:cstheme="minorHAnsi"/>
                <w:i/>
                <w:iCs/>
              </w:rPr>
            </w:pPr>
            <w:r w:rsidRPr="00133B61">
              <w:rPr>
                <w:rFonts w:cstheme="minorHAnsi"/>
                <w:i/>
                <w:iCs/>
              </w:rPr>
              <w:t>Firmato digitalmente</w:t>
            </w:r>
          </w:p>
        </w:tc>
        <w:tc>
          <w:tcPr>
            <w:tcW w:w="5528" w:type="dxa"/>
          </w:tcPr>
          <w:p w14:paraId="5AAF87AE" w14:textId="3D1D8B6E" w:rsidR="006E0A8B" w:rsidRPr="00133B61" w:rsidRDefault="00133B61" w:rsidP="006E3338">
            <w:pPr>
              <w:jc w:val="center"/>
              <w:rPr>
                <w:rFonts w:cstheme="minorHAnsi"/>
                <w:b/>
                <w:bCs/>
              </w:rPr>
            </w:pPr>
            <w:r w:rsidRPr="00133B61">
              <w:rPr>
                <w:rFonts w:cstheme="minorHAnsi"/>
                <w:b/>
                <w:bCs/>
                <w:highlight w:val="yellow"/>
              </w:rPr>
              <w:t>[denominazione della Scuola]</w:t>
            </w:r>
          </w:p>
          <w:p w14:paraId="47662826" w14:textId="48272046" w:rsidR="006E0A8B" w:rsidRPr="00133B61" w:rsidRDefault="00133B61" w:rsidP="006E3338">
            <w:pPr>
              <w:jc w:val="center"/>
              <w:rPr>
                <w:rFonts w:cstheme="minorHAnsi"/>
              </w:rPr>
            </w:pPr>
            <w:r w:rsidRPr="00133B61">
              <w:rPr>
                <w:rFonts w:cstheme="minorHAnsi"/>
              </w:rPr>
              <w:t>Il Dirigente Scolastico</w:t>
            </w:r>
          </w:p>
          <w:p w14:paraId="351F03E9" w14:textId="66814E0F" w:rsidR="006E0A8B" w:rsidRPr="00133B61" w:rsidRDefault="00133B61" w:rsidP="006E3338">
            <w:pPr>
              <w:jc w:val="center"/>
              <w:rPr>
                <w:rFonts w:cstheme="minorHAnsi"/>
              </w:rPr>
            </w:pPr>
            <w:r w:rsidRPr="00133B61">
              <w:rPr>
                <w:rFonts w:cstheme="minorHAnsi"/>
                <w:highlight w:val="yellow"/>
              </w:rPr>
              <w:t>[cognome e nome]</w:t>
            </w:r>
            <w:r w:rsidRPr="00133B61">
              <w:rPr>
                <w:rFonts w:cstheme="minorHAnsi"/>
              </w:rPr>
              <w:t xml:space="preserve"> </w:t>
            </w:r>
          </w:p>
          <w:p w14:paraId="3622FB69" w14:textId="77777777" w:rsidR="00F324BE" w:rsidRPr="00133B61" w:rsidRDefault="00F324BE" w:rsidP="006E3338">
            <w:pPr>
              <w:jc w:val="center"/>
              <w:rPr>
                <w:rFonts w:cstheme="minorHAnsi"/>
              </w:rPr>
            </w:pPr>
          </w:p>
          <w:p w14:paraId="01E5CDC7" w14:textId="77777777" w:rsidR="006E0A8B" w:rsidRPr="00133B61" w:rsidRDefault="006E0A8B" w:rsidP="006E3338">
            <w:pPr>
              <w:jc w:val="center"/>
              <w:rPr>
                <w:rFonts w:cstheme="minorHAnsi"/>
                <w:i/>
                <w:iCs/>
              </w:rPr>
            </w:pPr>
            <w:r w:rsidRPr="00133B61">
              <w:rPr>
                <w:rFonts w:cstheme="minorHAnsi"/>
                <w:i/>
                <w:iCs/>
              </w:rPr>
              <w:t>Firmato digitalmente</w:t>
            </w:r>
          </w:p>
        </w:tc>
      </w:tr>
    </w:tbl>
    <w:p w14:paraId="59CADDC2" w14:textId="77777777" w:rsidR="009349B7" w:rsidRPr="004C342B" w:rsidRDefault="009349B7" w:rsidP="00F32E53">
      <w:pPr>
        <w:jc w:val="both"/>
        <w:rPr>
          <w:rFonts w:cstheme="minorHAnsi"/>
          <w:sz w:val="24"/>
          <w:szCs w:val="24"/>
        </w:rPr>
      </w:pPr>
    </w:p>
    <w:sectPr w:rsidR="009349B7" w:rsidRPr="004C342B" w:rsidSect="00285EEB">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3A7C" w14:textId="77777777" w:rsidR="00825C0C" w:rsidRDefault="00825C0C" w:rsidP="00F96D98">
      <w:pPr>
        <w:spacing w:after="0" w:line="240" w:lineRule="auto"/>
      </w:pPr>
      <w:r>
        <w:separator/>
      </w:r>
    </w:p>
  </w:endnote>
  <w:endnote w:type="continuationSeparator" w:id="0">
    <w:p w14:paraId="03EAED6B" w14:textId="77777777" w:rsidR="00825C0C" w:rsidRDefault="00825C0C" w:rsidP="00F9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89DFA" w14:textId="77777777" w:rsidR="00825C0C" w:rsidRDefault="00825C0C" w:rsidP="00F96D98">
      <w:pPr>
        <w:spacing w:after="0" w:line="240" w:lineRule="auto"/>
      </w:pPr>
      <w:r>
        <w:separator/>
      </w:r>
    </w:p>
  </w:footnote>
  <w:footnote w:type="continuationSeparator" w:id="0">
    <w:p w14:paraId="0F630E31" w14:textId="77777777" w:rsidR="00825C0C" w:rsidRDefault="00825C0C" w:rsidP="00F96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656"/>
    <w:multiLevelType w:val="hybridMultilevel"/>
    <w:tmpl w:val="22C2C042"/>
    <w:lvl w:ilvl="0" w:tplc="6A8048C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5547FC"/>
    <w:multiLevelType w:val="multilevel"/>
    <w:tmpl w:val="89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C703B5"/>
    <w:multiLevelType w:val="hybridMultilevel"/>
    <w:tmpl w:val="092AD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25"/>
    <w:rsid w:val="00016FEA"/>
    <w:rsid w:val="00024F21"/>
    <w:rsid w:val="00032E93"/>
    <w:rsid w:val="00036415"/>
    <w:rsid w:val="00037310"/>
    <w:rsid w:val="000710D3"/>
    <w:rsid w:val="0007261B"/>
    <w:rsid w:val="000C3699"/>
    <w:rsid w:val="000C5F98"/>
    <w:rsid w:val="000D0F7D"/>
    <w:rsid w:val="000D398E"/>
    <w:rsid w:val="000D7E6F"/>
    <w:rsid w:val="000F406C"/>
    <w:rsid w:val="00117DA0"/>
    <w:rsid w:val="00133B61"/>
    <w:rsid w:val="00135672"/>
    <w:rsid w:val="00151DEE"/>
    <w:rsid w:val="00155468"/>
    <w:rsid w:val="00156127"/>
    <w:rsid w:val="001A2106"/>
    <w:rsid w:val="001B0276"/>
    <w:rsid w:val="001B4778"/>
    <w:rsid w:val="001C3AE4"/>
    <w:rsid w:val="001D7406"/>
    <w:rsid w:val="001E435A"/>
    <w:rsid w:val="001F1267"/>
    <w:rsid w:val="001F136F"/>
    <w:rsid w:val="001F14F0"/>
    <w:rsid w:val="00200CC8"/>
    <w:rsid w:val="00213519"/>
    <w:rsid w:val="00215176"/>
    <w:rsid w:val="00221DAB"/>
    <w:rsid w:val="002267D9"/>
    <w:rsid w:val="0023074A"/>
    <w:rsid w:val="002653A6"/>
    <w:rsid w:val="00271D76"/>
    <w:rsid w:val="00285EEB"/>
    <w:rsid w:val="002908FC"/>
    <w:rsid w:val="00292D1E"/>
    <w:rsid w:val="002A6237"/>
    <w:rsid w:val="002B3E23"/>
    <w:rsid w:val="002C6EC2"/>
    <w:rsid w:val="002D095E"/>
    <w:rsid w:val="002D3418"/>
    <w:rsid w:val="002E11DF"/>
    <w:rsid w:val="002E6EE2"/>
    <w:rsid w:val="003207FB"/>
    <w:rsid w:val="00322DB7"/>
    <w:rsid w:val="00326AEF"/>
    <w:rsid w:val="0033615B"/>
    <w:rsid w:val="00351A72"/>
    <w:rsid w:val="00357A0C"/>
    <w:rsid w:val="003664D1"/>
    <w:rsid w:val="00370301"/>
    <w:rsid w:val="00370B6B"/>
    <w:rsid w:val="00386BFD"/>
    <w:rsid w:val="003E34F9"/>
    <w:rsid w:val="004064C9"/>
    <w:rsid w:val="00427E25"/>
    <w:rsid w:val="00434847"/>
    <w:rsid w:val="00450673"/>
    <w:rsid w:val="004651B4"/>
    <w:rsid w:val="0048297A"/>
    <w:rsid w:val="004835C2"/>
    <w:rsid w:val="004870BE"/>
    <w:rsid w:val="00487A55"/>
    <w:rsid w:val="004A3F33"/>
    <w:rsid w:val="004C342B"/>
    <w:rsid w:val="004C47D9"/>
    <w:rsid w:val="004C5DD5"/>
    <w:rsid w:val="004D12F9"/>
    <w:rsid w:val="004E6C0A"/>
    <w:rsid w:val="00521EDB"/>
    <w:rsid w:val="00534455"/>
    <w:rsid w:val="00544D01"/>
    <w:rsid w:val="00555868"/>
    <w:rsid w:val="00557C83"/>
    <w:rsid w:val="00565E73"/>
    <w:rsid w:val="0057301B"/>
    <w:rsid w:val="005A4395"/>
    <w:rsid w:val="005B08C0"/>
    <w:rsid w:val="005B2B48"/>
    <w:rsid w:val="005E6B4C"/>
    <w:rsid w:val="006038CD"/>
    <w:rsid w:val="0061535E"/>
    <w:rsid w:val="0061692E"/>
    <w:rsid w:val="00656EBB"/>
    <w:rsid w:val="00672B47"/>
    <w:rsid w:val="0067320F"/>
    <w:rsid w:val="006744E4"/>
    <w:rsid w:val="006879E0"/>
    <w:rsid w:val="006934F4"/>
    <w:rsid w:val="006A099F"/>
    <w:rsid w:val="006A100C"/>
    <w:rsid w:val="006A2E42"/>
    <w:rsid w:val="006A60A5"/>
    <w:rsid w:val="006B4829"/>
    <w:rsid w:val="006D1215"/>
    <w:rsid w:val="006E0A8B"/>
    <w:rsid w:val="00711F95"/>
    <w:rsid w:val="00712D1C"/>
    <w:rsid w:val="00717739"/>
    <w:rsid w:val="007202C4"/>
    <w:rsid w:val="00760358"/>
    <w:rsid w:val="007A1F85"/>
    <w:rsid w:val="007A4ECA"/>
    <w:rsid w:val="007B798E"/>
    <w:rsid w:val="007D4D9C"/>
    <w:rsid w:val="007E7EEB"/>
    <w:rsid w:val="0081395A"/>
    <w:rsid w:val="00817C0D"/>
    <w:rsid w:val="00825C0C"/>
    <w:rsid w:val="00854B6D"/>
    <w:rsid w:val="00861C89"/>
    <w:rsid w:val="008667E7"/>
    <w:rsid w:val="008678B0"/>
    <w:rsid w:val="00894D3D"/>
    <w:rsid w:val="0089654C"/>
    <w:rsid w:val="008A6581"/>
    <w:rsid w:val="008F163E"/>
    <w:rsid w:val="00925BF6"/>
    <w:rsid w:val="009349B7"/>
    <w:rsid w:val="00940F41"/>
    <w:rsid w:val="0094677D"/>
    <w:rsid w:val="009579EC"/>
    <w:rsid w:val="00974C74"/>
    <w:rsid w:val="0097775E"/>
    <w:rsid w:val="00987B1E"/>
    <w:rsid w:val="0099242D"/>
    <w:rsid w:val="009A1C16"/>
    <w:rsid w:val="009C1AD6"/>
    <w:rsid w:val="009E69C3"/>
    <w:rsid w:val="009F3E51"/>
    <w:rsid w:val="009F4F96"/>
    <w:rsid w:val="00A37ABC"/>
    <w:rsid w:val="00A425E0"/>
    <w:rsid w:val="00A46621"/>
    <w:rsid w:val="00A5327B"/>
    <w:rsid w:val="00A92883"/>
    <w:rsid w:val="00AB6415"/>
    <w:rsid w:val="00AC28F8"/>
    <w:rsid w:val="00AD215C"/>
    <w:rsid w:val="00AD3872"/>
    <w:rsid w:val="00AD479B"/>
    <w:rsid w:val="00AE32B2"/>
    <w:rsid w:val="00AF27C2"/>
    <w:rsid w:val="00B11696"/>
    <w:rsid w:val="00B179D2"/>
    <w:rsid w:val="00B17C09"/>
    <w:rsid w:val="00B449E5"/>
    <w:rsid w:val="00B465C3"/>
    <w:rsid w:val="00B514A7"/>
    <w:rsid w:val="00B559E6"/>
    <w:rsid w:val="00B61C67"/>
    <w:rsid w:val="00B65AC7"/>
    <w:rsid w:val="00B822D8"/>
    <w:rsid w:val="00BA461D"/>
    <w:rsid w:val="00BA574D"/>
    <w:rsid w:val="00BC2E96"/>
    <w:rsid w:val="00BD48E0"/>
    <w:rsid w:val="00BE64D9"/>
    <w:rsid w:val="00C020D0"/>
    <w:rsid w:val="00C321A9"/>
    <w:rsid w:val="00C37514"/>
    <w:rsid w:val="00C40D3E"/>
    <w:rsid w:val="00C76A51"/>
    <w:rsid w:val="00C82B70"/>
    <w:rsid w:val="00CA7EE3"/>
    <w:rsid w:val="00CC166A"/>
    <w:rsid w:val="00CC4F6A"/>
    <w:rsid w:val="00CD4B9A"/>
    <w:rsid w:val="00D24BAA"/>
    <w:rsid w:val="00D56075"/>
    <w:rsid w:val="00D76790"/>
    <w:rsid w:val="00D96BE8"/>
    <w:rsid w:val="00E01EEF"/>
    <w:rsid w:val="00E236A7"/>
    <w:rsid w:val="00E31837"/>
    <w:rsid w:val="00E34F86"/>
    <w:rsid w:val="00E40CCC"/>
    <w:rsid w:val="00E50B8E"/>
    <w:rsid w:val="00E71E42"/>
    <w:rsid w:val="00E75B3A"/>
    <w:rsid w:val="00EB1616"/>
    <w:rsid w:val="00EE686B"/>
    <w:rsid w:val="00EF60D1"/>
    <w:rsid w:val="00F11853"/>
    <w:rsid w:val="00F13415"/>
    <w:rsid w:val="00F17B20"/>
    <w:rsid w:val="00F2489D"/>
    <w:rsid w:val="00F324BE"/>
    <w:rsid w:val="00F32E53"/>
    <w:rsid w:val="00F367F0"/>
    <w:rsid w:val="00F47DF2"/>
    <w:rsid w:val="00F63CE3"/>
    <w:rsid w:val="00F77E41"/>
    <w:rsid w:val="00F96D98"/>
    <w:rsid w:val="00FA0265"/>
    <w:rsid w:val="00FC1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8E25B"/>
  <w15:docId w15:val="{A885420F-D1BF-46F8-82EE-29FA96F5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8E0"/>
  </w:style>
  <w:style w:type="paragraph" w:styleId="Titolo1">
    <w:name w:val="heading 1"/>
    <w:basedOn w:val="Normale"/>
    <w:next w:val="Normale"/>
    <w:link w:val="Titolo1Carattere"/>
    <w:qFormat/>
    <w:rsid w:val="00487A55"/>
    <w:pPr>
      <w:keepNext/>
      <w:spacing w:before="240" w:after="60" w:line="240" w:lineRule="auto"/>
      <w:outlineLvl w:val="0"/>
    </w:pPr>
    <w:rPr>
      <w:rFonts w:ascii="Arial" w:eastAsia="Times New Roman" w:hAnsi="Arial" w:cs="Arial"/>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4847"/>
    <w:pPr>
      <w:ind w:left="720"/>
      <w:contextualSpacing/>
    </w:pPr>
  </w:style>
  <w:style w:type="character" w:customStyle="1" w:styleId="Titolo1Carattere">
    <w:name w:val="Titolo 1 Carattere"/>
    <w:basedOn w:val="Carpredefinitoparagrafo"/>
    <w:link w:val="Titolo1"/>
    <w:rsid w:val="00487A55"/>
    <w:rPr>
      <w:rFonts w:ascii="Arial" w:eastAsia="Times New Roman" w:hAnsi="Arial" w:cs="Arial"/>
      <w:b/>
      <w:bCs/>
      <w:kern w:val="32"/>
      <w:sz w:val="32"/>
      <w:szCs w:val="32"/>
      <w:lang w:eastAsia="it-IT"/>
    </w:rPr>
  </w:style>
  <w:style w:type="paragraph" w:styleId="Intestazione">
    <w:name w:val="header"/>
    <w:basedOn w:val="Normale"/>
    <w:link w:val="IntestazioneCarattere"/>
    <w:uiPriority w:val="99"/>
    <w:unhideWhenUsed/>
    <w:rsid w:val="00F96D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6D98"/>
  </w:style>
  <w:style w:type="paragraph" w:styleId="Pidipagina">
    <w:name w:val="footer"/>
    <w:basedOn w:val="Normale"/>
    <w:link w:val="PidipaginaCarattere"/>
    <w:uiPriority w:val="99"/>
    <w:unhideWhenUsed/>
    <w:rsid w:val="00F96D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6D98"/>
  </w:style>
  <w:style w:type="paragraph" w:customStyle="1" w:styleId="Default">
    <w:name w:val="Default"/>
    <w:rsid w:val="001F136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delblocco">
    <w:name w:val="Block Text"/>
    <w:basedOn w:val="Normale"/>
    <w:uiPriority w:val="99"/>
    <w:unhideWhenUsed/>
    <w:rsid w:val="00016FEA"/>
    <w:pPr>
      <w:autoSpaceDE w:val="0"/>
      <w:autoSpaceDN w:val="0"/>
      <w:adjustRightInd w:val="0"/>
      <w:spacing w:before="9" w:after="0" w:line="273" w:lineRule="exact"/>
      <w:ind w:left="851" w:right="1861"/>
      <w:jc w:val="both"/>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6E0A8B"/>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702CF-3008-49CE-A588-86D84D88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1201</Words>
  <Characters>6846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elicari</dc:creator>
  <cp:keywords/>
  <dc:description/>
  <cp:lastModifiedBy>Carolina Belfiore</cp:lastModifiedBy>
  <cp:revision>8</cp:revision>
  <cp:lastPrinted>2024-12-16T10:21:00Z</cp:lastPrinted>
  <dcterms:created xsi:type="dcterms:W3CDTF">2025-01-15T11:06:00Z</dcterms:created>
  <dcterms:modified xsi:type="dcterms:W3CDTF">2025-10-17T10:32:00Z</dcterms:modified>
</cp:coreProperties>
</file>